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9F5" w:rsidRDefault="00461B13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20"/>
          <w:szCs w:val="20"/>
        </w:rPr>
        <w:t>Task 1: Defining Success</w:t>
      </w:r>
    </w:p>
    <w:tbl>
      <w:tblPr>
        <w:tblStyle w:val="a"/>
        <w:tblW w:w="10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665"/>
        <w:gridCol w:w="8805"/>
      </w:tblGrid>
      <w:tr w:rsidR="00C079F5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8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FDFDF"/>
              </w:rPr>
              <w:t>Criteria</w:t>
            </w:r>
          </w:p>
        </w:tc>
      </w:tr>
      <w:tr w:rsidR="00C079F5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Distinguished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(4 points)</w:t>
            </w:r>
          </w:p>
        </w:tc>
        <w:tc>
          <w:tcPr>
            <w:tcW w:w="8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Thoughts expressed about success are detailed and show evidence of some deep reflection.</w:t>
            </w:r>
          </w:p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Essay presents a coherent picture of the student’s relationship to success at this point, including obstacles.</w:t>
            </w:r>
          </w:p>
        </w:tc>
      </w:tr>
      <w:tr w:rsidR="00C079F5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Proficient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(3 points)</w:t>
            </w:r>
          </w:p>
        </w:tc>
        <w:tc>
          <w:tcPr>
            <w:tcW w:w="8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Thoughts expressed about success are adequately detailed and show evidence of some reflection.</w:t>
            </w:r>
          </w:p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Essay presents a coherent picture of the student’s relationship to success at this point, with some mention of obstacles. </w:t>
            </w:r>
          </w:p>
        </w:tc>
      </w:tr>
      <w:tr w:rsidR="00C079F5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Developing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(2 points)</w:t>
            </w:r>
          </w:p>
        </w:tc>
        <w:tc>
          <w:tcPr>
            <w:tcW w:w="8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Thoughts expressed about success are moderately detailed and show evidence of little reflection.</w:t>
            </w:r>
          </w:p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Essay pre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sents a comprehensible picture of the student’s relationship to success at this point but may not be well organized.</w:t>
            </w:r>
          </w:p>
        </w:tc>
      </w:tr>
      <w:tr w:rsidR="00C079F5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Beginning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(1 point)</w:t>
            </w:r>
          </w:p>
        </w:tc>
        <w:tc>
          <w:tcPr>
            <w:tcW w:w="8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Thoughts expressed about success are disjointed and don’t show evidence of reflection.</w:t>
            </w:r>
          </w:p>
          <w:p w:rsidR="00C079F5" w:rsidRDefault="00461B13">
            <w:pPr>
              <w:pStyle w:val="normal0"/>
              <w:spacing w:line="240" w:lineRule="auto"/>
              <w:ind w:left="240" w:right="-95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Essay presents an incoherent picture of the student’s relationship to success at this point.</w:t>
            </w:r>
          </w:p>
        </w:tc>
      </w:tr>
    </w:tbl>
    <w:p w:rsidR="00C079F5" w:rsidRDefault="00C079F5">
      <w:pPr>
        <w:pStyle w:val="normal0"/>
        <w:spacing w:line="240" w:lineRule="auto"/>
      </w:pPr>
    </w:p>
    <w:p w:rsidR="00C079F5" w:rsidRDefault="00461B13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20"/>
          <w:szCs w:val="20"/>
        </w:rPr>
        <w:t>Task 2: Current Study Habits</w:t>
      </w:r>
    </w:p>
    <w:tbl>
      <w:tblPr>
        <w:tblStyle w:val="a0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695"/>
        <w:gridCol w:w="8805"/>
      </w:tblGrid>
      <w:tr w:rsidR="00C079F5"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8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FDFDF"/>
              </w:rPr>
              <w:t>Criteria</w:t>
            </w:r>
          </w:p>
        </w:tc>
      </w:tr>
      <w:tr w:rsidR="00C079F5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Distinguished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(4 points)</w:t>
            </w:r>
          </w:p>
        </w:tc>
        <w:tc>
          <w:tcPr>
            <w:tcW w:w="8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Thoroughly describes study habits in engaging detail.</w:t>
            </w:r>
          </w:p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Insightfully diagnoses effectiveness of study habits and proposes areas that would benefit from improvement.</w:t>
            </w:r>
          </w:p>
        </w:tc>
      </w:tr>
      <w:tr w:rsidR="00C079F5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Proficient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(3 points)</w:t>
            </w:r>
          </w:p>
        </w:tc>
        <w:tc>
          <w:tcPr>
            <w:tcW w:w="8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240" w:hanging="22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    Describes study habits in some detail.</w:t>
            </w:r>
          </w:p>
          <w:p w:rsidR="00C079F5" w:rsidRDefault="00461B13">
            <w:pPr>
              <w:pStyle w:val="normal0"/>
              <w:spacing w:line="240" w:lineRule="auto"/>
              <w:ind w:left="240" w:hanging="22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    Diagnoses effectiveness of study habits and proposes areas that would benefit from improvement.</w:t>
            </w:r>
          </w:p>
        </w:tc>
      </w:tr>
      <w:tr w:rsidR="00C079F5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Developing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(2 points)</w:t>
            </w:r>
          </w:p>
        </w:tc>
        <w:tc>
          <w:tcPr>
            <w:tcW w:w="8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Describes study habits in minimal detail.</w:t>
            </w:r>
          </w:p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Vaguely diagnoses effectiveness of study habits and proposes areas that would benefit from improvement.</w:t>
            </w:r>
          </w:p>
        </w:tc>
      </w:tr>
      <w:tr w:rsidR="00C079F5"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Beginning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(1 point)</w:t>
            </w:r>
          </w:p>
        </w:tc>
        <w:tc>
          <w:tcPr>
            <w:tcW w:w="8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Describes study habits in a way that is confusing or hard to follow.</w:t>
            </w:r>
          </w:p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Does not diagnose effectiveness of study habits or propose areas that would benefit from improvement.</w:t>
            </w:r>
          </w:p>
        </w:tc>
      </w:tr>
    </w:tbl>
    <w:p w:rsidR="00C079F5" w:rsidRDefault="00C079F5">
      <w:pPr>
        <w:pStyle w:val="normal0"/>
        <w:spacing w:line="240" w:lineRule="auto"/>
      </w:pPr>
    </w:p>
    <w:p w:rsidR="00C079F5" w:rsidRDefault="00461B13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20"/>
          <w:szCs w:val="20"/>
        </w:rPr>
        <w:t>Task 3: Learning Styles</w:t>
      </w:r>
    </w:p>
    <w:tbl>
      <w:tblPr>
        <w:tblStyle w:val="a1"/>
        <w:tblW w:w="10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665"/>
        <w:gridCol w:w="8865"/>
      </w:tblGrid>
      <w:tr w:rsidR="00C079F5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8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FDFDF"/>
              </w:rPr>
              <w:t>Criteria</w:t>
            </w:r>
          </w:p>
        </w:tc>
      </w:tr>
      <w:tr w:rsidR="00C079F5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Distinguished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(4 points)</w:t>
            </w:r>
          </w:p>
        </w:tc>
        <w:tc>
          <w:tcPr>
            <w:tcW w:w="8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Reflects thoughtfully on his or her learning patterns.</w:t>
            </w:r>
          </w:p>
          <w:p w:rsidR="00C079F5" w:rsidRDefault="00461B13">
            <w:pPr>
              <w:pStyle w:val="normal0"/>
              <w:spacing w:line="240" w:lineRule="auto"/>
              <w:ind w:left="240"/>
            </w:pPr>
            <w:r>
              <w:rPr>
                <w:rFonts w:ascii="Cambria" w:eastAsia="Cambria" w:hAnsi="Cambria" w:cs="Cambria"/>
                <w:sz w:val="20"/>
                <w:szCs w:val="20"/>
              </w:rPr>
              <w:t>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Draws thorough and thoughtful conclusions about how learning styles and modes of education affect his or her ability to learn.</w:t>
            </w:r>
          </w:p>
        </w:tc>
      </w:tr>
      <w:tr w:rsidR="00C079F5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Proficient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(3 points)</w:t>
            </w:r>
          </w:p>
        </w:tc>
        <w:tc>
          <w:tcPr>
            <w:tcW w:w="8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·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Reflects somewhat thoughtfully on his or her learning patterns.</w:t>
            </w:r>
          </w:p>
          <w:p w:rsidR="00C079F5" w:rsidRDefault="00461B13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·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Draws fairly thoughtful conclusions about how learning styles and modes of education affect his or her ability to learn.</w:t>
            </w:r>
          </w:p>
        </w:tc>
      </w:tr>
      <w:tr w:rsidR="00C079F5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Developing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(2 points)</w:t>
            </w:r>
          </w:p>
        </w:tc>
        <w:tc>
          <w:tcPr>
            <w:tcW w:w="8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·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Reflects adequately on his or her learning patterns.</w:t>
            </w:r>
          </w:p>
          <w:p w:rsidR="00C079F5" w:rsidRDefault="00461B13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·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 xml:space="preserve">Draws some conclusions about how learning styles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 modes of education affect his or her ability to learn.</w:t>
            </w:r>
          </w:p>
        </w:tc>
      </w:tr>
      <w:tr w:rsidR="00C079F5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Beginning</w:t>
            </w:r>
          </w:p>
          <w:p w:rsidR="00C079F5" w:rsidRDefault="00461B13">
            <w:pPr>
              <w:pStyle w:val="normal0"/>
              <w:spacing w:line="240" w:lineRule="auto"/>
              <w:ind w:left="120" w:right="12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D9D9D9"/>
              </w:rPr>
              <w:t>(1 point)</w:t>
            </w:r>
          </w:p>
        </w:tc>
        <w:tc>
          <w:tcPr>
            <w:tcW w:w="8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F5" w:rsidRDefault="00461B13">
            <w:pPr>
              <w:pStyle w:val="normal0"/>
              <w:spacing w:line="240" w:lineRule="auto"/>
              <w:ind w:left="32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·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Reflects sketchily on his or her learning patterns.</w:t>
            </w:r>
          </w:p>
          <w:p w:rsidR="00C079F5" w:rsidRDefault="00461B13">
            <w:pPr>
              <w:pStyle w:val="normal0"/>
              <w:spacing w:line="240" w:lineRule="auto"/>
              <w:ind w:left="320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·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Draws vague conclusions about how learning styles and modes of education affect his or her ability to learn.</w:t>
            </w:r>
          </w:p>
        </w:tc>
      </w:tr>
    </w:tbl>
    <w:p w:rsidR="00C079F5" w:rsidRDefault="00C079F5">
      <w:pPr>
        <w:pStyle w:val="normal0"/>
        <w:spacing w:line="240" w:lineRule="auto"/>
      </w:pPr>
    </w:p>
    <w:sectPr w:rsidR="00C079F5" w:rsidSect="00C079F5">
      <w:pgSz w:w="12240" w:h="15840"/>
      <w:pgMar w:top="863" w:right="863" w:bottom="863" w:left="863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NotTrackMoves/>
  <w:defaultTabStop w:val="720"/>
  <w:characterSpacingControl w:val="doNotCompress"/>
  <w:compat/>
  <w:rsids>
    <w:rsidRoot w:val="00C079F5"/>
    <w:rsid w:val="00461B13"/>
    <w:rsid w:val="00C079F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079F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079F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079F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079F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079F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079F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079F5"/>
  </w:style>
  <w:style w:type="paragraph" w:styleId="Title">
    <w:name w:val="Title"/>
    <w:basedOn w:val="normal0"/>
    <w:next w:val="normal0"/>
    <w:rsid w:val="00C079F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C079F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07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07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079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Macintosh Word</Application>
  <DocSecurity>0</DocSecurity>
  <Lines>17</Lines>
  <Paragraphs>4</Paragraphs>
  <ScaleCrop>false</ScaleCrop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Tanabe</cp:lastModifiedBy>
  <cp:revision>2</cp:revision>
  <dcterms:created xsi:type="dcterms:W3CDTF">2015-10-29T23:24:00Z</dcterms:created>
  <dcterms:modified xsi:type="dcterms:W3CDTF">2015-10-29T23:24:00Z</dcterms:modified>
</cp:coreProperties>
</file>